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30F" w:rsidRDefault="000A6FD3">
      <w:pPr>
        <w:ind w:right="-568"/>
        <w:jc w:val="righ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4593858</wp:posOffset>
            </wp:positionH>
            <wp:positionV relativeFrom="paragraph">
              <wp:posOffset>-258792</wp:posOffset>
            </wp:positionV>
            <wp:extent cx="2024674" cy="1039333"/>
            <wp:effectExtent l="0" t="0" r="0" b="0"/>
            <wp:wrapNone/>
            <wp:docPr id="20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674" cy="10393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3230F" w:rsidRDefault="0043230F">
      <w:pPr>
        <w:ind w:right="-568"/>
        <w:jc w:val="right"/>
        <w:rPr>
          <w:sz w:val="18"/>
          <w:szCs w:val="18"/>
        </w:rPr>
      </w:pPr>
    </w:p>
    <w:p w:rsidR="0043230F" w:rsidRDefault="0043230F">
      <w:pPr>
        <w:ind w:right="-568"/>
        <w:jc w:val="right"/>
        <w:rPr>
          <w:sz w:val="18"/>
          <w:szCs w:val="18"/>
        </w:rPr>
      </w:pPr>
    </w:p>
    <w:p w:rsidR="0043230F" w:rsidRDefault="0043230F">
      <w:pPr>
        <w:ind w:right="-568"/>
        <w:jc w:val="right"/>
        <w:rPr>
          <w:sz w:val="18"/>
          <w:szCs w:val="18"/>
        </w:rPr>
      </w:pPr>
    </w:p>
    <w:p w:rsidR="0043230F" w:rsidRDefault="0043230F">
      <w:pPr>
        <w:ind w:right="-568"/>
        <w:jc w:val="right"/>
        <w:rPr>
          <w:sz w:val="18"/>
          <w:szCs w:val="18"/>
        </w:rPr>
      </w:pPr>
    </w:p>
    <w:p w:rsidR="0043230F" w:rsidRDefault="0043230F">
      <w:pPr>
        <w:ind w:right="-568"/>
        <w:jc w:val="right"/>
        <w:rPr>
          <w:sz w:val="18"/>
          <w:szCs w:val="18"/>
        </w:rPr>
      </w:pPr>
    </w:p>
    <w:p w:rsidR="0043230F" w:rsidRDefault="007D738E" w:rsidP="007D738E">
      <w:pPr>
        <w:ind w:left="6480" w:right="-568" w:firstLine="720"/>
        <w:jc w:val="center"/>
        <w:rPr>
          <w:b/>
          <w:color w:val="007077"/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872A89" w:rsidRDefault="00872A89" w:rsidP="007D738E">
      <w:pPr>
        <w:ind w:left="6480" w:right="-568" w:firstLine="720"/>
        <w:jc w:val="center"/>
        <w:rPr>
          <w:b/>
          <w:color w:val="007077"/>
          <w:sz w:val="18"/>
          <w:szCs w:val="18"/>
        </w:rPr>
      </w:pPr>
    </w:p>
    <w:p w:rsidR="00872A89" w:rsidRDefault="00872A89" w:rsidP="007D738E">
      <w:pPr>
        <w:ind w:left="6480" w:right="-568" w:firstLine="720"/>
        <w:jc w:val="center"/>
        <w:rPr>
          <w:b/>
          <w:color w:val="007077"/>
          <w:sz w:val="18"/>
          <w:szCs w:val="18"/>
        </w:rPr>
      </w:pPr>
    </w:p>
    <w:p w:rsidR="00872A89" w:rsidRDefault="00872A89" w:rsidP="00872A89">
      <w:pPr>
        <w:ind w:left="6480" w:right="-568" w:hanging="67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72A89" w:rsidRDefault="00872A89" w:rsidP="00872A89">
      <w:pPr>
        <w:ind w:left="6480" w:right="-568" w:hanging="6764"/>
        <w:jc w:val="both"/>
        <w:rPr>
          <w:sz w:val="24"/>
          <w:szCs w:val="24"/>
        </w:rPr>
      </w:pPr>
    </w:p>
    <w:p w:rsidR="00872A89" w:rsidRDefault="00872A89" w:rsidP="00872A89">
      <w:pPr>
        <w:ind w:left="6480" w:right="-568" w:hanging="67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72A89" w:rsidRDefault="00872A89" w:rsidP="00872A89">
      <w:pPr>
        <w:ind w:left="6480" w:right="-568" w:hanging="6764"/>
        <w:jc w:val="both"/>
        <w:rPr>
          <w:sz w:val="24"/>
          <w:szCs w:val="24"/>
        </w:rPr>
      </w:pPr>
    </w:p>
    <w:p w:rsidR="00872A89" w:rsidRDefault="00872A89" w:rsidP="00872A89">
      <w:pPr>
        <w:ind w:left="6480" w:right="-568" w:hanging="67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72A89">
        <w:rPr>
          <w:sz w:val="24"/>
          <w:szCs w:val="24"/>
        </w:rPr>
        <w:t>December 202</w:t>
      </w:r>
      <w:r w:rsidR="00F20751">
        <w:rPr>
          <w:sz w:val="24"/>
          <w:szCs w:val="24"/>
        </w:rPr>
        <w:t>3</w:t>
      </w:r>
    </w:p>
    <w:p w:rsidR="00872A89" w:rsidRDefault="00872A89" w:rsidP="00872A89">
      <w:pPr>
        <w:ind w:left="6480" w:right="-568" w:hanging="6764"/>
        <w:jc w:val="both"/>
        <w:rPr>
          <w:sz w:val="24"/>
          <w:szCs w:val="24"/>
        </w:rPr>
      </w:pPr>
    </w:p>
    <w:p w:rsidR="00872A89" w:rsidRPr="00CC2774" w:rsidRDefault="00872A89" w:rsidP="00872A89">
      <w:pPr>
        <w:ind w:right="-568"/>
        <w:rPr>
          <w:b/>
          <w:sz w:val="24"/>
          <w:szCs w:val="24"/>
        </w:rPr>
      </w:pPr>
      <w:r w:rsidRPr="00CC2774">
        <w:rPr>
          <w:b/>
          <w:sz w:val="24"/>
          <w:szCs w:val="24"/>
        </w:rPr>
        <w:t>Executive Pay</w:t>
      </w:r>
    </w:p>
    <w:p w:rsidR="00872A89" w:rsidRPr="00CC2774" w:rsidRDefault="00872A89" w:rsidP="00872A89">
      <w:pPr>
        <w:ind w:right="-568"/>
        <w:rPr>
          <w:b/>
          <w:sz w:val="24"/>
          <w:szCs w:val="24"/>
        </w:rPr>
      </w:pPr>
    </w:p>
    <w:p w:rsidR="00872A89" w:rsidRPr="00CC2774" w:rsidRDefault="00872A89" w:rsidP="00872A89">
      <w:pPr>
        <w:ind w:right="-568"/>
        <w:rPr>
          <w:sz w:val="24"/>
          <w:szCs w:val="24"/>
        </w:rPr>
      </w:pPr>
      <w:r w:rsidRPr="00CC2774">
        <w:rPr>
          <w:sz w:val="24"/>
          <w:szCs w:val="24"/>
        </w:rPr>
        <w:t xml:space="preserve">In accordance with the Academy Trust Handbook, the Trust must publish the number of employees whose </w:t>
      </w:r>
      <w:r w:rsidR="009D1ABA">
        <w:rPr>
          <w:sz w:val="24"/>
          <w:szCs w:val="24"/>
        </w:rPr>
        <w:t xml:space="preserve">actual </w:t>
      </w:r>
      <w:r w:rsidRPr="00CC2774">
        <w:rPr>
          <w:sz w:val="24"/>
          <w:szCs w:val="24"/>
        </w:rPr>
        <w:t>benefits exceeded £100</w:t>
      </w:r>
      <w:r>
        <w:rPr>
          <w:sz w:val="24"/>
          <w:szCs w:val="24"/>
        </w:rPr>
        <w:t>,000</w:t>
      </w:r>
      <w:r w:rsidRPr="00CC2774">
        <w:rPr>
          <w:sz w:val="24"/>
          <w:szCs w:val="24"/>
        </w:rPr>
        <w:t>, in £10</w:t>
      </w:r>
      <w:r>
        <w:rPr>
          <w:sz w:val="24"/>
          <w:szCs w:val="24"/>
        </w:rPr>
        <w:t>,000</w:t>
      </w:r>
      <w:r w:rsidRPr="00CC2774">
        <w:rPr>
          <w:sz w:val="24"/>
          <w:szCs w:val="24"/>
        </w:rPr>
        <w:t xml:space="preserve"> bandings, for the previous year ended 31 August.  Benefits for this purpose include salary, employers pension contributions, other taxable benefits and termination payments</w:t>
      </w:r>
      <w:r>
        <w:rPr>
          <w:sz w:val="24"/>
          <w:szCs w:val="24"/>
        </w:rPr>
        <w:t>.</w:t>
      </w:r>
    </w:p>
    <w:p w:rsidR="00872A89" w:rsidRPr="00CC2774" w:rsidRDefault="00872A89" w:rsidP="00872A89">
      <w:pPr>
        <w:ind w:right="-568"/>
        <w:rPr>
          <w:sz w:val="24"/>
          <w:szCs w:val="24"/>
        </w:rPr>
      </w:pPr>
    </w:p>
    <w:p w:rsidR="00872A89" w:rsidRPr="00CC2774" w:rsidRDefault="00872A89" w:rsidP="00872A89">
      <w:pPr>
        <w:ind w:right="-568"/>
        <w:rPr>
          <w:sz w:val="24"/>
          <w:szCs w:val="24"/>
        </w:rPr>
      </w:pPr>
    </w:p>
    <w:p w:rsidR="00872A89" w:rsidRPr="00CC2774" w:rsidRDefault="00872A89" w:rsidP="00872A89">
      <w:pPr>
        <w:ind w:right="-568"/>
        <w:rPr>
          <w:sz w:val="24"/>
          <w:szCs w:val="24"/>
        </w:rPr>
      </w:pPr>
      <w:r w:rsidRPr="00CC2774">
        <w:rPr>
          <w:sz w:val="24"/>
          <w:szCs w:val="24"/>
        </w:rPr>
        <w:t>The number of employees whose employee benefits (including employer pension costs) exceeded £100</w:t>
      </w:r>
      <w:r>
        <w:rPr>
          <w:sz w:val="24"/>
          <w:szCs w:val="24"/>
        </w:rPr>
        <w:t>,000</w:t>
      </w:r>
      <w:r w:rsidRPr="00CC2774">
        <w:rPr>
          <w:sz w:val="24"/>
          <w:szCs w:val="24"/>
        </w:rPr>
        <w:t xml:space="preserve"> </w:t>
      </w:r>
      <w:r>
        <w:rPr>
          <w:sz w:val="24"/>
          <w:szCs w:val="24"/>
        </w:rPr>
        <w:t>for the year ended 31</w:t>
      </w:r>
      <w:r w:rsidRPr="00A11B7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August 202</w:t>
      </w:r>
      <w:r w:rsidR="00F20751">
        <w:rPr>
          <w:sz w:val="24"/>
          <w:szCs w:val="24"/>
        </w:rPr>
        <w:t>3</w:t>
      </w:r>
      <w:r>
        <w:rPr>
          <w:sz w:val="24"/>
          <w:szCs w:val="24"/>
        </w:rPr>
        <w:t xml:space="preserve"> was:</w:t>
      </w:r>
    </w:p>
    <w:p w:rsidR="00872A89" w:rsidRPr="00CC2774" w:rsidRDefault="00872A89" w:rsidP="00872A89">
      <w:pPr>
        <w:ind w:right="-568"/>
        <w:rPr>
          <w:sz w:val="24"/>
          <w:szCs w:val="24"/>
        </w:rPr>
      </w:pPr>
    </w:p>
    <w:p w:rsidR="00872A89" w:rsidRDefault="00872A89" w:rsidP="00872A89">
      <w:pPr>
        <w:ind w:right="-568"/>
      </w:pPr>
    </w:p>
    <w:p w:rsidR="00872A89" w:rsidRDefault="00872A89" w:rsidP="00872A89">
      <w:pPr>
        <w:ind w:right="-568"/>
      </w:pPr>
      <w:r>
        <w:tab/>
      </w:r>
      <w:r>
        <w:tab/>
      </w:r>
    </w:p>
    <w:p w:rsidR="00872A89" w:rsidRPr="00FD6011" w:rsidRDefault="00872A89" w:rsidP="00872A89">
      <w:pPr>
        <w:ind w:right="-568"/>
      </w:pPr>
      <w:r>
        <w:tab/>
      </w:r>
      <w:r>
        <w:tab/>
      </w:r>
    </w:p>
    <w:tbl>
      <w:tblPr>
        <w:tblStyle w:val="TableGrid"/>
        <w:tblW w:w="0" w:type="auto"/>
        <w:tblInd w:w="2830" w:type="dxa"/>
        <w:tblLook w:val="04A0" w:firstRow="1" w:lastRow="0" w:firstColumn="1" w:lastColumn="0" w:noHBand="0" w:noVBand="1"/>
      </w:tblPr>
      <w:tblGrid>
        <w:gridCol w:w="2352"/>
        <w:gridCol w:w="1937"/>
      </w:tblGrid>
      <w:tr w:rsidR="00872A89" w:rsidTr="00D91C84">
        <w:trPr>
          <w:trHeight w:val="261"/>
        </w:trPr>
        <w:tc>
          <w:tcPr>
            <w:tcW w:w="2352" w:type="dxa"/>
          </w:tcPr>
          <w:p w:rsidR="00872A89" w:rsidRDefault="00872A89" w:rsidP="00935C96">
            <w:pPr>
              <w:ind w:right="-568"/>
            </w:pPr>
            <w:r>
              <w:t>Banding (£)</w:t>
            </w:r>
          </w:p>
        </w:tc>
        <w:tc>
          <w:tcPr>
            <w:tcW w:w="1937" w:type="dxa"/>
          </w:tcPr>
          <w:p w:rsidR="00872A89" w:rsidRDefault="00872A89" w:rsidP="00935C96">
            <w:pPr>
              <w:ind w:right="-568"/>
            </w:pPr>
            <w:r>
              <w:t>No of Employees</w:t>
            </w:r>
          </w:p>
        </w:tc>
      </w:tr>
      <w:tr w:rsidR="00872A89" w:rsidTr="00D91C84">
        <w:trPr>
          <w:trHeight w:val="247"/>
        </w:trPr>
        <w:tc>
          <w:tcPr>
            <w:tcW w:w="2352" w:type="dxa"/>
          </w:tcPr>
          <w:p w:rsidR="00872A89" w:rsidRDefault="00872A89" w:rsidP="00935C96">
            <w:pPr>
              <w:ind w:right="-568"/>
            </w:pPr>
          </w:p>
        </w:tc>
        <w:tc>
          <w:tcPr>
            <w:tcW w:w="1937" w:type="dxa"/>
          </w:tcPr>
          <w:p w:rsidR="00872A89" w:rsidRDefault="00872A89" w:rsidP="00935C96">
            <w:pPr>
              <w:ind w:right="-568"/>
            </w:pPr>
          </w:p>
        </w:tc>
      </w:tr>
      <w:tr w:rsidR="00872A89" w:rsidTr="00D91C84">
        <w:trPr>
          <w:trHeight w:val="261"/>
        </w:trPr>
        <w:tc>
          <w:tcPr>
            <w:tcW w:w="2352" w:type="dxa"/>
          </w:tcPr>
          <w:p w:rsidR="00872A89" w:rsidRDefault="00872A89" w:rsidP="00935C96">
            <w:pPr>
              <w:ind w:right="-568"/>
            </w:pPr>
            <w:r>
              <w:t>100,000 – 110,000</w:t>
            </w:r>
          </w:p>
        </w:tc>
        <w:tc>
          <w:tcPr>
            <w:tcW w:w="1937" w:type="dxa"/>
          </w:tcPr>
          <w:p w:rsidR="00872A89" w:rsidRDefault="00135EE0" w:rsidP="00935C96">
            <w:pPr>
              <w:ind w:right="-568"/>
            </w:pPr>
            <w:r>
              <w:t xml:space="preserve">               </w:t>
            </w:r>
            <w:r w:rsidR="003E5F49">
              <w:t>2</w:t>
            </w:r>
            <w:bookmarkStart w:id="0" w:name="_GoBack"/>
            <w:bookmarkEnd w:id="0"/>
          </w:p>
        </w:tc>
      </w:tr>
      <w:tr w:rsidR="00872A89" w:rsidTr="00D91C84">
        <w:trPr>
          <w:trHeight w:val="247"/>
        </w:trPr>
        <w:tc>
          <w:tcPr>
            <w:tcW w:w="2352" w:type="dxa"/>
          </w:tcPr>
          <w:p w:rsidR="00872A89" w:rsidRDefault="00872A89" w:rsidP="00935C96">
            <w:pPr>
              <w:ind w:right="-568"/>
            </w:pPr>
            <w:r>
              <w:t>110,001 – 120,000</w:t>
            </w:r>
          </w:p>
        </w:tc>
        <w:tc>
          <w:tcPr>
            <w:tcW w:w="1937" w:type="dxa"/>
          </w:tcPr>
          <w:p w:rsidR="00872A89" w:rsidRDefault="00872A89" w:rsidP="00935C96">
            <w:pPr>
              <w:ind w:right="-568"/>
            </w:pPr>
            <w:r>
              <w:t xml:space="preserve">               1</w:t>
            </w:r>
          </w:p>
        </w:tc>
      </w:tr>
      <w:tr w:rsidR="00872A89" w:rsidTr="00D91C84">
        <w:trPr>
          <w:trHeight w:val="261"/>
        </w:trPr>
        <w:tc>
          <w:tcPr>
            <w:tcW w:w="2352" w:type="dxa"/>
          </w:tcPr>
          <w:p w:rsidR="00872A89" w:rsidRDefault="00872A89" w:rsidP="00935C96">
            <w:pPr>
              <w:ind w:right="-568"/>
            </w:pPr>
            <w:r>
              <w:t>120,001 – 130,000</w:t>
            </w:r>
          </w:p>
        </w:tc>
        <w:tc>
          <w:tcPr>
            <w:tcW w:w="1937" w:type="dxa"/>
          </w:tcPr>
          <w:p w:rsidR="00872A89" w:rsidRDefault="00872A89" w:rsidP="00935C96">
            <w:pPr>
              <w:ind w:right="-568"/>
            </w:pPr>
            <w:r>
              <w:t xml:space="preserve">               </w:t>
            </w:r>
            <w:r w:rsidR="0096584F">
              <w:t>0</w:t>
            </w:r>
          </w:p>
        </w:tc>
      </w:tr>
      <w:tr w:rsidR="00872A89" w:rsidTr="00D91C84">
        <w:trPr>
          <w:trHeight w:val="247"/>
        </w:trPr>
        <w:tc>
          <w:tcPr>
            <w:tcW w:w="2352" w:type="dxa"/>
          </w:tcPr>
          <w:p w:rsidR="00872A89" w:rsidRDefault="00872A89" w:rsidP="00935C96">
            <w:pPr>
              <w:ind w:right="-568"/>
            </w:pPr>
            <w:r>
              <w:t>130,001 – 140,000</w:t>
            </w:r>
          </w:p>
        </w:tc>
        <w:tc>
          <w:tcPr>
            <w:tcW w:w="1937" w:type="dxa"/>
          </w:tcPr>
          <w:p w:rsidR="00872A89" w:rsidRDefault="00872A89" w:rsidP="00935C96">
            <w:pPr>
              <w:ind w:right="-568"/>
            </w:pPr>
            <w:r>
              <w:t xml:space="preserve">               </w:t>
            </w:r>
            <w:r w:rsidR="00135EE0">
              <w:t>1</w:t>
            </w:r>
          </w:p>
        </w:tc>
      </w:tr>
      <w:tr w:rsidR="00872A89" w:rsidTr="00D91C84">
        <w:trPr>
          <w:trHeight w:val="261"/>
        </w:trPr>
        <w:tc>
          <w:tcPr>
            <w:tcW w:w="2352" w:type="dxa"/>
          </w:tcPr>
          <w:p w:rsidR="00872A89" w:rsidRDefault="00872A89" w:rsidP="00935C96">
            <w:pPr>
              <w:ind w:right="-568"/>
            </w:pPr>
            <w:r>
              <w:t>140,001 – 150,000</w:t>
            </w:r>
          </w:p>
        </w:tc>
        <w:tc>
          <w:tcPr>
            <w:tcW w:w="1937" w:type="dxa"/>
          </w:tcPr>
          <w:p w:rsidR="00872A89" w:rsidRDefault="00872A89" w:rsidP="00935C96">
            <w:pPr>
              <w:ind w:right="-568"/>
            </w:pPr>
            <w:r>
              <w:t xml:space="preserve">               0</w:t>
            </w:r>
          </w:p>
        </w:tc>
      </w:tr>
      <w:tr w:rsidR="00872A89" w:rsidTr="00D91C84">
        <w:trPr>
          <w:trHeight w:val="261"/>
        </w:trPr>
        <w:tc>
          <w:tcPr>
            <w:tcW w:w="2352" w:type="dxa"/>
          </w:tcPr>
          <w:p w:rsidR="00872A89" w:rsidRDefault="00872A89" w:rsidP="00935C96">
            <w:pPr>
              <w:ind w:right="-568"/>
            </w:pPr>
            <w:r>
              <w:t>150,001 – 160,000</w:t>
            </w:r>
          </w:p>
        </w:tc>
        <w:tc>
          <w:tcPr>
            <w:tcW w:w="1937" w:type="dxa"/>
          </w:tcPr>
          <w:p w:rsidR="00872A89" w:rsidRDefault="00872A89" w:rsidP="00935C96">
            <w:pPr>
              <w:ind w:right="-568"/>
            </w:pPr>
            <w:r>
              <w:t xml:space="preserve">               </w:t>
            </w:r>
            <w:r w:rsidR="00135EE0">
              <w:t>0</w:t>
            </w:r>
          </w:p>
        </w:tc>
      </w:tr>
      <w:tr w:rsidR="00135EE0" w:rsidTr="00D91C84">
        <w:trPr>
          <w:trHeight w:val="247"/>
        </w:trPr>
        <w:tc>
          <w:tcPr>
            <w:tcW w:w="2352" w:type="dxa"/>
          </w:tcPr>
          <w:p w:rsidR="00135EE0" w:rsidRDefault="00135EE0" w:rsidP="00135EE0">
            <w:pPr>
              <w:ind w:right="-568"/>
            </w:pPr>
            <w:r>
              <w:t>240,001 – 250,000</w:t>
            </w:r>
          </w:p>
        </w:tc>
        <w:tc>
          <w:tcPr>
            <w:tcW w:w="1937" w:type="dxa"/>
          </w:tcPr>
          <w:p w:rsidR="00135EE0" w:rsidRDefault="00135EE0" w:rsidP="00135EE0">
            <w:pPr>
              <w:ind w:right="-568"/>
            </w:pPr>
            <w:r>
              <w:t xml:space="preserve">               1</w:t>
            </w:r>
          </w:p>
        </w:tc>
      </w:tr>
      <w:tr w:rsidR="00F20751" w:rsidTr="00D91C84">
        <w:trPr>
          <w:trHeight w:val="261"/>
        </w:trPr>
        <w:tc>
          <w:tcPr>
            <w:tcW w:w="2352" w:type="dxa"/>
          </w:tcPr>
          <w:p w:rsidR="00F20751" w:rsidRDefault="00F20751" w:rsidP="00935C96">
            <w:pPr>
              <w:ind w:right="-568"/>
            </w:pPr>
          </w:p>
        </w:tc>
        <w:tc>
          <w:tcPr>
            <w:tcW w:w="1937" w:type="dxa"/>
          </w:tcPr>
          <w:p w:rsidR="00F20751" w:rsidRDefault="00F20751" w:rsidP="00935C96">
            <w:pPr>
              <w:ind w:right="-568"/>
            </w:pPr>
          </w:p>
        </w:tc>
      </w:tr>
    </w:tbl>
    <w:p w:rsidR="00872A89" w:rsidRPr="00FD6011" w:rsidRDefault="00872A89" w:rsidP="00872A89">
      <w:pPr>
        <w:ind w:right="-568"/>
      </w:pPr>
    </w:p>
    <w:p w:rsidR="00872A89" w:rsidRPr="00FD6011" w:rsidRDefault="00872A89" w:rsidP="00872A89">
      <w:pPr>
        <w:ind w:right="-568"/>
      </w:pPr>
    </w:p>
    <w:p w:rsidR="00872A89" w:rsidRPr="00872A89" w:rsidRDefault="00872A89" w:rsidP="00872A89">
      <w:pPr>
        <w:ind w:left="6480" w:right="-568" w:hanging="6764"/>
        <w:jc w:val="both"/>
        <w:rPr>
          <w:sz w:val="24"/>
          <w:szCs w:val="24"/>
        </w:rPr>
      </w:pPr>
    </w:p>
    <w:p w:rsidR="00872A89" w:rsidRDefault="00872A89" w:rsidP="00872A89">
      <w:pPr>
        <w:ind w:left="6480" w:right="-568" w:firstLine="720"/>
        <w:jc w:val="both"/>
        <w:rPr>
          <w:b/>
          <w:color w:val="007077"/>
          <w:sz w:val="18"/>
          <w:szCs w:val="18"/>
        </w:rPr>
      </w:pPr>
    </w:p>
    <w:p w:rsidR="00872A89" w:rsidRDefault="00872A89" w:rsidP="00872A89">
      <w:pPr>
        <w:ind w:left="6480" w:right="-568" w:firstLine="720"/>
        <w:jc w:val="both"/>
        <w:rPr>
          <w:b/>
          <w:color w:val="007077"/>
          <w:sz w:val="18"/>
          <w:szCs w:val="18"/>
        </w:rPr>
      </w:pPr>
    </w:p>
    <w:p w:rsidR="00872A89" w:rsidRDefault="00872A89" w:rsidP="00872A89">
      <w:pPr>
        <w:ind w:left="6480" w:right="-568" w:firstLine="720"/>
        <w:jc w:val="both"/>
        <w:rPr>
          <w:b/>
          <w:color w:val="007077"/>
          <w:sz w:val="18"/>
          <w:szCs w:val="18"/>
        </w:rPr>
      </w:pPr>
    </w:p>
    <w:p w:rsidR="00872A89" w:rsidRDefault="00872A89" w:rsidP="00872A89">
      <w:pPr>
        <w:ind w:left="6480" w:right="-568" w:firstLine="720"/>
        <w:jc w:val="both"/>
        <w:rPr>
          <w:b/>
          <w:color w:val="007077"/>
          <w:sz w:val="18"/>
          <w:szCs w:val="18"/>
        </w:rPr>
      </w:pPr>
    </w:p>
    <w:p w:rsidR="00872A89" w:rsidRDefault="00872A89" w:rsidP="00872A89">
      <w:pPr>
        <w:ind w:left="6480" w:right="-568" w:firstLine="720"/>
        <w:jc w:val="both"/>
        <w:rPr>
          <w:b/>
          <w:color w:val="007077"/>
          <w:sz w:val="18"/>
          <w:szCs w:val="18"/>
        </w:rPr>
      </w:pPr>
    </w:p>
    <w:p w:rsidR="00872A89" w:rsidRDefault="00872A89" w:rsidP="00872A89">
      <w:pPr>
        <w:ind w:left="6480" w:right="-568" w:firstLine="720"/>
        <w:jc w:val="both"/>
        <w:rPr>
          <w:b/>
          <w:color w:val="007077"/>
          <w:sz w:val="18"/>
          <w:szCs w:val="18"/>
        </w:rPr>
      </w:pPr>
    </w:p>
    <w:p w:rsidR="00872A89" w:rsidRDefault="00872A89" w:rsidP="00872A89">
      <w:pPr>
        <w:ind w:left="6480" w:right="-568" w:firstLine="720"/>
        <w:jc w:val="both"/>
        <w:rPr>
          <w:b/>
          <w:color w:val="007077"/>
          <w:sz w:val="18"/>
          <w:szCs w:val="18"/>
        </w:rPr>
      </w:pPr>
    </w:p>
    <w:p w:rsidR="00872A89" w:rsidRDefault="00872A89" w:rsidP="00872A89">
      <w:pPr>
        <w:ind w:left="6480" w:right="-568" w:firstLine="720"/>
        <w:jc w:val="both"/>
        <w:rPr>
          <w:b/>
          <w:color w:val="007077"/>
          <w:sz w:val="18"/>
          <w:szCs w:val="18"/>
        </w:rPr>
      </w:pPr>
    </w:p>
    <w:p w:rsidR="00872A89" w:rsidRDefault="00872A89" w:rsidP="00872A89">
      <w:pPr>
        <w:ind w:left="6480" w:right="-568" w:firstLine="720"/>
        <w:jc w:val="both"/>
        <w:rPr>
          <w:b/>
          <w:color w:val="007077"/>
          <w:sz w:val="18"/>
          <w:szCs w:val="18"/>
        </w:rPr>
      </w:pPr>
    </w:p>
    <w:p w:rsidR="00872A89" w:rsidRDefault="00872A89" w:rsidP="00872A89">
      <w:pPr>
        <w:ind w:left="6480" w:right="-568" w:firstLine="720"/>
        <w:jc w:val="both"/>
        <w:rPr>
          <w:b/>
          <w:color w:val="007077"/>
          <w:sz w:val="18"/>
          <w:szCs w:val="18"/>
        </w:rPr>
      </w:pPr>
    </w:p>
    <w:p w:rsidR="00872A89" w:rsidRDefault="00872A89" w:rsidP="00872A89">
      <w:pPr>
        <w:ind w:left="-567" w:right="-568" w:firstLine="720"/>
        <w:jc w:val="both"/>
        <w:rPr>
          <w:b/>
          <w:color w:val="007077"/>
          <w:sz w:val="18"/>
          <w:szCs w:val="18"/>
        </w:rPr>
      </w:pPr>
    </w:p>
    <w:sectPr w:rsidR="00872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8" w:right="1133" w:bottom="1870" w:left="1133" w:header="51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B92" w:rsidRDefault="00835B92">
      <w:r>
        <w:separator/>
      </w:r>
    </w:p>
  </w:endnote>
  <w:endnote w:type="continuationSeparator" w:id="0">
    <w:p w:rsidR="00835B92" w:rsidRDefault="0083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0F" w:rsidRDefault="004323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0F" w:rsidRDefault="0043230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1199" w:type="dxa"/>
      <w:tblInd w:w="-56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390"/>
      <w:gridCol w:w="5249"/>
      <w:gridCol w:w="851"/>
      <w:gridCol w:w="709"/>
    </w:tblGrid>
    <w:tr w:rsidR="0043230F" w:rsidTr="00010CA7">
      <w:trPr>
        <w:trHeight w:val="283"/>
      </w:trPr>
      <w:tc>
        <w:tcPr>
          <w:tcW w:w="4390" w:type="dxa"/>
          <w:vMerge w:val="restart"/>
          <w:vAlign w:val="center"/>
        </w:tcPr>
        <w:p w:rsidR="0043230F" w:rsidRDefault="000A6F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right" w:pos="8931"/>
            </w:tabs>
            <w:ind w:right="39"/>
            <w:jc w:val="center"/>
            <w:rPr>
              <w:i/>
              <w:color w:val="000000"/>
              <w:sz w:val="20"/>
              <w:szCs w:val="20"/>
            </w:rPr>
          </w:pPr>
          <w:r>
            <w:rPr>
              <w:b/>
              <w:i/>
              <w:color w:val="000000"/>
              <w:sz w:val="20"/>
              <w:szCs w:val="20"/>
            </w:rPr>
            <w:t>“</w:t>
          </w:r>
          <w:r>
            <w:rPr>
              <w:i/>
              <w:color w:val="000000"/>
              <w:sz w:val="20"/>
              <w:szCs w:val="20"/>
            </w:rPr>
            <w:t>Being the best we can be by uniting schools,</w:t>
          </w:r>
        </w:p>
        <w:p w:rsidR="0043230F" w:rsidRDefault="000A6F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right" w:pos="8931"/>
            </w:tabs>
            <w:ind w:right="39"/>
            <w:jc w:val="center"/>
            <w:rPr>
              <w:i/>
              <w:color w:val="000000"/>
              <w:sz w:val="20"/>
              <w:szCs w:val="20"/>
            </w:rPr>
          </w:pPr>
          <w:r>
            <w:rPr>
              <w:i/>
              <w:color w:val="000000"/>
              <w:sz w:val="20"/>
              <w:szCs w:val="20"/>
            </w:rPr>
            <w:t>communities and families, to secure success</w:t>
          </w:r>
        </w:p>
        <w:p w:rsidR="0043230F" w:rsidRDefault="000A6F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right" w:pos="8931"/>
            </w:tabs>
            <w:jc w:val="center"/>
            <w:rPr>
              <w:i/>
              <w:color w:val="000000"/>
              <w:sz w:val="20"/>
              <w:szCs w:val="20"/>
            </w:rPr>
          </w:pPr>
          <w:r>
            <w:rPr>
              <w:i/>
              <w:color w:val="000000"/>
              <w:sz w:val="20"/>
              <w:szCs w:val="20"/>
            </w:rPr>
            <w:t>for all young people</w:t>
          </w:r>
          <w:r>
            <w:rPr>
              <w:b/>
              <w:i/>
              <w:color w:val="000000"/>
              <w:sz w:val="20"/>
              <w:szCs w:val="20"/>
            </w:rPr>
            <w:t>”</w:t>
          </w:r>
        </w:p>
      </w:tc>
      <w:tc>
        <w:tcPr>
          <w:tcW w:w="6100" w:type="dxa"/>
          <w:gridSpan w:val="2"/>
          <w:vAlign w:val="center"/>
        </w:tcPr>
        <w:p w:rsidR="0043230F" w:rsidRDefault="000A6F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color w:val="007077"/>
              <w:sz w:val="20"/>
              <w:szCs w:val="20"/>
            </w:rPr>
          </w:pPr>
          <w:r>
            <w:rPr>
              <w:color w:val="007077"/>
              <w:sz w:val="20"/>
              <w:szCs w:val="20"/>
            </w:rPr>
            <w:t>01642 718555</w:t>
          </w:r>
        </w:p>
      </w:tc>
      <w:tc>
        <w:tcPr>
          <w:tcW w:w="709" w:type="dxa"/>
          <w:vAlign w:val="center"/>
        </w:tcPr>
        <w:p w:rsidR="0043230F" w:rsidRDefault="000A6F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center" w:pos="4607"/>
            </w:tabs>
            <w:jc w:val="center"/>
            <w:rPr>
              <w:color w:val="007077"/>
              <w:sz w:val="20"/>
              <w:szCs w:val="20"/>
            </w:rPr>
          </w:pPr>
          <w:bookmarkStart w:id="1" w:name="_heading=h.gjdgxs" w:colFirst="0" w:colLast="0"/>
          <w:bookmarkEnd w:id="1"/>
          <w:r>
            <w:rPr>
              <w:noProof/>
              <w:color w:val="007077"/>
              <w:sz w:val="20"/>
              <w:szCs w:val="20"/>
            </w:rPr>
            <w:drawing>
              <wp:inline distT="0" distB="0" distL="0" distR="0">
                <wp:extent cx="180000" cy="180000"/>
                <wp:effectExtent l="0" t="0" r="0" b="0"/>
                <wp:docPr id="202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43230F" w:rsidTr="00010CA7">
      <w:trPr>
        <w:trHeight w:val="283"/>
      </w:trPr>
      <w:tc>
        <w:tcPr>
          <w:tcW w:w="4390" w:type="dxa"/>
          <w:vMerge/>
          <w:vAlign w:val="center"/>
        </w:tcPr>
        <w:p w:rsidR="0043230F" w:rsidRDefault="0043230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7077"/>
              <w:sz w:val="20"/>
              <w:szCs w:val="20"/>
            </w:rPr>
          </w:pPr>
        </w:p>
      </w:tc>
      <w:tc>
        <w:tcPr>
          <w:tcW w:w="6100" w:type="dxa"/>
          <w:gridSpan w:val="2"/>
          <w:vAlign w:val="center"/>
        </w:tcPr>
        <w:p w:rsidR="0043230F" w:rsidRDefault="000A6F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color w:val="007077"/>
              <w:sz w:val="20"/>
              <w:szCs w:val="20"/>
            </w:rPr>
          </w:pPr>
          <w:r>
            <w:rPr>
              <w:color w:val="007077"/>
              <w:sz w:val="20"/>
              <w:szCs w:val="20"/>
            </w:rPr>
            <w:t>office@aretelearningtrust.org</w:t>
          </w:r>
        </w:p>
      </w:tc>
      <w:tc>
        <w:tcPr>
          <w:tcW w:w="709" w:type="dxa"/>
          <w:vAlign w:val="center"/>
        </w:tcPr>
        <w:p w:rsidR="0043230F" w:rsidRDefault="000A6F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color w:val="007077"/>
              <w:sz w:val="20"/>
              <w:szCs w:val="20"/>
            </w:rPr>
          </w:pPr>
          <w:r>
            <w:rPr>
              <w:noProof/>
              <w:color w:val="007077"/>
              <w:sz w:val="20"/>
              <w:szCs w:val="20"/>
            </w:rPr>
            <w:drawing>
              <wp:inline distT="0" distB="0" distL="0" distR="0">
                <wp:extent cx="180000" cy="180000"/>
                <wp:effectExtent l="0" t="0" r="0" b="0"/>
                <wp:docPr id="20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43230F" w:rsidTr="00010CA7">
      <w:trPr>
        <w:trHeight w:val="283"/>
      </w:trPr>
      <w:tc>
        <w:tcPr>
          <w:tcW w:w="4390" w:type="dxa"/>
          <w:vMerge/>
          <w:vAlign w:val="center"/>
        </w:tcPr>
        <w:p w:rsidR="0043230F" w:rsidRDefault="0043230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7077"/>
              <w:sz w:val="20"/>
              <w:szCs w:val="20"/>
            </w:rPr>
          </w:pPr>
        </w:p>
      </w:tc>
      <w:tc>
        <w:tcPr>
          <w:tcW w:w="6100" w:type="dxa"/>
          <w:gridSpan w:val="2"/>
          <w:vAlign w:val="center"/>
        </w:tcPr>
        <w:p w:rsidR="0043230F" w:rsidRDefault="000A6F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color w:val="007077"/>
              <w:sz w:val="20"/>
              <w:szCs w:val="20"/>
            </w:rPr>
          </w:pPr>
          <w:r>
            <w:rPr>
              <w:color w:val="007077"/>
              <w:sz w:val="20"/>
              <w:szCs w:val="20"/>
            </w:rPr>
            <w:t>www.aretelearningtrust.org</w:t>
          </w:r>
        </w:p>
      </w:tc>
      <w:tc>
        <w:tcPr>
          <w:tcW w:w="709" w:type="dxa"/>
          <w:vAlign w:val="center"/>
        </w:tcPr>
        <w:p w:rsidR="0043230F" w:rsidRDefault="000A6F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color w:val="007077"/>
              <w:sz w:val="20"/>
              <w:szCs w:val="20"/>
            </w:rPr>
          </w:pPr>
          <w:r>
            <w:rPr>
              <w:noProof/>
              <w:color w:val="007077"/>
              <w:sz w:val="20"/>
              <w:szCs w:val="20"/>
            </w:rPr>
            <w:drawing>
              <wp:inline distT="0" distB="0" distL="0" distR="0">
                <wp:extent cx="180000" cy="180000"/>
                <wp:effectExtent l="0" t="0" r="0" b="0"/>
                <wp:docPr id="204" name="image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43230F" w:rsidTr="00010CA7">
      <w:trPr>
        <w:trHeight w:val="510"/>
      </w:trPr>
      <w:tc>
        <w:tcPr>
          <w:tcW w:w="9639" w:type="dxa"/>
          <w:gridSpan w:val="2"/>
          <w:vAlign w:val="bottom"/>
        </w:tcPr>
        <w:p w:rsidR="0043230F" w:rsidRDefault="000A6F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color w:val="007077"/>
              <w:sz w:val="14"/>
              <w:szCs w:val="14"/>
            </w:rPr>
          </w:pPr>
          <w:r>
            <w:rPr>
              <w:color w:val="007077"/>
              <w:sz w:val="14"/>
              <w:szCs w:val="14"/>
            </w:rPr>
            <w:t>Areté Learning Trust is an exempt charity regulated by the Secretary of State for Education.  It is a company limited by guarantee registered in England</w:t>
          </w:r>
        </w:p>
        <w:p w:rsidR="0043230F" w:rsidRDefault="000A6F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color w:val="007077"/>
              <w:sz w:val="18"/>
              <w:szCs w:val="18"/>
            </w:rPr>
          </w:pPr>
          <w:r>
            <w:rPr>
              <w:color w:val="007077"/>
              <w:sz w:val="14"/>
              <w:szCs w:val="14"/>
            </w:rPr>
            <w:t>and Wales (company number 9471240), whose registered office is at Areté Learning Trust, Station Road, Stokesley, North Yorkshire, TS9 5AL</w:t>
          </w:r>
        </w:p>
      </w:tc>
      <w:tc>
        <w:tcPr>
          <w:tcW w:w="1560" w:type="dxa"/>
          <w:gridSpan w:val="2"/>
          <w:vAlign w:val="center"/>
        </w:tcPr>
        <w:p w:rsidR="0043230F" w:rsidRDefault="00010C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color w:val="007077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50311C2C" wp14:editId="0712A16C">
                <wp:simplePos x="0" y="0"/>
                <wp:positionH relativeFrom="margin">
                  <wp:posOffset>-116205</wp:posOffset>
                </wp:positionH>
                <wp:positionV relativeFrom="paragraph">
                  <wp:posOffset>12700</wp:posOffset>
                </wp:positionV>
                <wp:extent cx="1085850" cy="323850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323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3230F" w:rsidRDefault="004323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8931"/>
      </w:tabs>
      <w:ind w:left="-142" w:right="-852"/>
      <w:rPr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0F" w:rsidRDefault="004323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B92" w:rsidRDefault="00835B92">
      <w:r>
        <w:separator/>
      </w:r>
    </w:p>
  </w:footnote>
  <w:footnote w:type="continuationSeparator" w:id="0">
    <w:p w:rsidR="00835B92" w:rsidRDefault="00835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0F" w:rsidRDefault="004323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0F" w:rsidRDefault="004323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0F" w:rsidRDefault="004323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30F"/>
    <w:rsid w:val="00010CA7"/>
    <w:rsid w:val="000A6FD3"/>
    <w:rsid w:val="00135EE0"/>
    <w:rsid w:val="003E5F49"/>
    <w:rsid w:val="003F0F55"/>
    <w:rsid w:val="0043230F"/>
    <w:rsid w:val="007D738E"/>
    <w:rsid w:val="008161EE"/>
    <w:rsid w:val="00835B92"/>
    <w:rsid w:val="00872A89"/>
    <w:rsid w:val="0096584F"/>
    <w:rsid w:val="009D1ABA"/>
    <w:rsid w:val="00BD1ACB"/>
    <w:rsid w:val="00CA7C12"/>
    <w:rsid w:val="00D91C84"/>
    <w:rsid w:val="00F2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8723D3"/>
  <w15:docId w15:val="{F040BFCB-AFFE-4CB4-9A78-61D34C9C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ind w:left="100"/>
      <w:jc w:val="both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Pr>
      <w:sz w:val="24"/>
      <w:szCs w:val="24"/>
      <w:lang w:val="en-US" w:eastAsia="en-US"/>
    </w:r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LSYlfuAmchD9MvRxJxbZe8lwrw==">AMUW2mXfWZWupsHJYTY1qqYkMzJ735UoGVIIoMSe66FDDn+5O5QoSkzWkODVWJ3jmoZ6cnBMzcjsm+hMKXMWZG3O4jvg67CrqV7uQxUqNsT2jMZ+tWuJgFQU/VJ7bsR2ypHtTB7lYQ1z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Arete Learning Trust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Hague</dc:creator>
  <cp:lastModifiedBy>Mrs H Wiseman</cp:lastModifiedBy>
  <cp:revision>6</cp:revision>
  <dcterms:created xsi:type="dcterms:W3CDTF">2024-03-15T15:25:00Z</dcterms:created>
  <dcterms:modified xsi:type="dcterms:W3CDTF">2024-03-15T16:13:00Z</dcterms:modified>
</cp:coreProperties>
</file>